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keepNext w:val="0"/>
        <w:keepLines w:val="0"/>
        <w:pageBreakBefore w:val="0"/>
        <w:kinsoku/>
        <w:wordWrap/>
        <w:overflowPunct/>
        <w:topLinePunct w:val="0"/>
        <w:autoSpaceDE/>
        <w:autoSpaceDN/>
        <w:bidi w:val="0"/>
        <w:adjustRightInd/>
        <w:snapToGrid/>
        <w:spacing w:line="240" w:lineRule="auto"/>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西北地区2026年植物分类与保育培训班</w:t>
      </w:r>
    </w:p>
    <w:p>
      <w:pPr>
        <w:keepNext w:val="0"/>
        <w:keepLines w:val="0"/>
        <w:pageBreakBefore w:val="0"/>
        <w:kinsoku/>
        <w:wordWrap/>
        <w:overflowPunct/>
        <w:topLinePunct w:val="0"/>
        <w:autoSpaceDE/>
        <w:autoSpaceDN/>
        <w:bidi w:val="0"/>
        <w:adjustRightInd/>
        <w:snapToGrid/>
        <w:spacing w:line="240" w:lineRule="auto"/>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通知(第二轮)</w:t>
      </w:r>
    </w:p>
    <w:p>
      <w:pPr>
        <w:keepNext w:val="0"/>
        <w:keepLines w:val="0"/>
        <w:pageBreakBefore w:val="0"/>
        <w:kinsoku/>
        <w:wordWrap/>
        <w:overflowPunct/>
        <w:topLinePunct w:val="0"/>
        <w:autoSpaceDE/>
        <w:autoSpaceDN/>
        <w:bidi w:val="0"/>
        <w:adjustRightInd/>
        <w:snapToGrid/>
        <w:spacing w:line="240" w:lineRule="auto"/>
        <w:rPr>
          <w:rFonts w:hint="eastAsia"/>
          <w:sz w:val="28"/>
          <w:szCs w:val="28"/>
        </w:rPr>
      </w:pPr>
      <w:r>
        <w:rPr>
          <w:rFonts w:hint="eastAsia"/>
          <w:sz w:val="28"/>
          <w:szCs w:val="28"/>
        </w:rPr>
        <w:t>各位专家、学者、同仁</w:t>
      </w:r>
      <w:r>
        <w:rPr>
          <w:rFonts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rPr>
      </w:pPr>
      <w:r>
        <w:rPr>
          <w:rFonts w:hint="eastAsia"/>
          <w:sz w:val="28"/>
          <w:szCs w:val="28"/>
        </w:rPr>
        <w:t>为推动区域植物分类学创新发展，搭建植物科研、保育、科普从业人员高水平交流学习平台，助力濒危植物保育、植物多样性调查与种质资源创新利用工作高质量开展</w:t>
      </w:r>
      <w:r>
        <w:rPr>
          <w:rFonts w:hint="eastAsia"/>
          <w:sz w:val="28"/>
          <w:szCs w:val="28"/>
          <w:lang w:eastAsia="zh-CN"/>
        </w:rPr>
        <w:t>，</w:t>
      </w:r>
      <w:r>
        <w:rPr>
          <w:rFonts w:hint="eastAsia"/>
          <w:sz w:val="28"/>
          <w:szCs w:val="28"/>
        </w:rPr>
        <w:t>陕西省植物学会牵头，秦岭国家植物园联合西北大学</w:t>
      </w:r>
      <w:r>
        <w:rPr>
          <w:rFonts w:hint="eastAsia"/>
          <w:sz w:val="28"/>
          <w:szCs w:val="28"/>
          <w:lang w:eastAsia="zh-CN"/>
        </w:rPr>
        <w:t>、</w:t>
      </w:r>
      <w:r>
        <w:rPr>
          <w:rFonts w:hint="eastAsia"/>
          <w:sz w:val="28"/>
          <w:szCs w:val="28"/>
          <w:lang w:val="en-US" w:eastAsia="zh-CN"/>
        </w:rPr>
        <w:t>西北农林科技大学于2026年7月26日-8月1日在秦岭国家植物园举办</w:t>
      </w:r>
      <w:r>
        <w:rPr>
          <w:rFonts w:hint="eastAsia"/>
          <w:sz w:val="28"/>
          <w:szCs w:val="28"/>
        </w:rPr>
        <w:t>西北地区</w:t>
      </w:r>
      <w:r>
        <w:rPr>
          <w:rFonts w:hint="eastAsia"/>
          <w:sz w:val="28"/>
          <w:szCs w:val="28"/>
          <w:lang w:val="en-US" w:eastAsia="zh-CN"/>
        </w:rPr>
        <w:t>2026年</w:t>
      </w:r>
      <w:r>
        <w:rPr>
          <w:rFonts w:hint="eastAsia"/>
          <w:sz w:val="28"/>
          <w:szCs w:val="28"/>
        </w:rPr>
        <w:t>植物分类</w:t>
      </w:r>
      <w:r>
        <w:rPr>
          <w:rFonts w:hint="eastAsia"/>
          <w:sz w:val="28"/>
          <w:szCs w:val="28"/>
          <w:lang w:val="en-US" w:eastAsia="zh-CN"/>
        </w:rPr>
        <w:t>与保育</w:t>
      </w:r>
      <w:r>
        <w:rPr>
          <w:rFonts w:hint="eastAsia"/>
          <w:sz w:val="28"/>
          <w:szCs w:val="28"/>
        </w:rPr>
        <w:t>专题培训班。</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rPr>
      </w:pPr>
      <w:r>
        <w:rPr>
          <w:rFonts w:hint="eastAsia"/>
          <w:sz w:val="28"/>
          <w:szCs w:val="28"/>
        </w:rPr>
        <w:t>本次培训立足西北地域植物资源特色，聚焦学科前沿与一线实操，采用“前沿理论授课+原生态野外实训</w:t>
      </w:r>
      <w:r>
        <w:rPr>
          <w:rFonts w:hint="eastAsia"/>
          <w:sz w:val="28"/>
          <w:szCs w:val="28"/>
          <w:lang w:val="en-US" w:eastAsia="zh-CN"/>
        </w:rPr>
        <w:t>+实操竞赛赋能</w:t>
      </w:r>
      <w:r>
        <w:rPr>
          <w:rFonts w:hint="eastAsia"/>
          <w:sz w:val="28"/>
          <w:szCs w:val="28"/>
        </w:rPr>
        <w:t>”</w:t>
      </w:r>
      <w:r>
        <w:rPr>
          <w:rFonts w:hint="eastAsia"/>
          <w:sz w:val="28"/>
          <w:szCs w:val="28"/>
          <w:lang w:val="en-US" w:eastAsia="zh-CN"/>
        </w:rPr>
        <w:t>三位一体</w:t>
      </w:r>
      <w:r>
        <w:rPr>
          <w:rFonts w:hint="eastAsia"/>
          <w:sz w:val="28"/>
          <w:szCs w:val="28"/>
        </w:rPr>
        <w:t>教学模式，依托秦岭得天独厚的植物资源禀赋，助力参训学员夯实理论功底、精进实操技能、拓宽学术视野，赋能职业与科研能力升级。</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eastAsiaTheme="minorEastAsia"/>
          <w:sz w:val="28"/>
          <w:szCs w:val="28"/>
          <w:lang w:val="en-US" w:eastAsia="zh-CN"/>
        </w:rPr>
      </w:pPr>
      <w:r>
        <w:rPr>
          <w:rFonts w:hint="eastAsia"/>
          <w:sz w:val="28"/>
          <w:szCs w:val="28"/>
        </w:rPr>
        <w:t>盛夏秦岭草木繁盛、物种丰盈，诚邀全国植物领域科研工作者、</w:t>
      </w:r>
      <w:r>
        <w:rPr>
          <w:rFonts w:hint="eastAsia"/>
          <w:sz w:val="28"/>
          <w:szCs w:val="28"/>
          <w:lang w:val="en-US" w:eastAsia="zh-CN"/>
        </w:rPr>
        <w:t>在校学生</w:t>
      </w:r>
      <w:r>
        <w:rPr>
          <w:rFonts w:hint="eastAsia"/>
          <w:sz w:val="28"/>
          <w:szCs w:val="28"/>
        </w:rPr>
        <w:t>及植物爱好者齐聚秦岭，共研草木肌理、共探保育之道、共促行业共进</w:t>
      </w:r>
      <w:r>
        <w:rPr>
          <w:rFonts w:hint="eastAsia"/>
          <w:sz w:val="28"/>
          <w:szCs w:val="28"/>
          <w:lang w:eastAsia="zh-CN"/>
        </w:rPr>
        <w:t>。</w:t>
      </w:r>
      <w:r>
        <w:rPr>
          <w:rFonts w:hint="eastAsia"/>
          <w:sz w:val="28"/>
          <w:szCs w:val="28"/>
          <w:lang w:val="en-US" w:eastAsia="zh-CN"/>
        </w:rPr>
        <w:t>现将</w:t>
      </w:r>
      <w:r>
        <w:rPr>
          <w:rFonts w:hint="eastAsia"/>
          <w:sz w:val="28"/>
          <w:szCs w:val="28"/>
        </w:rPr>
        <w:t>培训安排</w:t>
      </w:r>
      <w:r>
        <w:rPr>
          <w:rFonts w:hint="eastAsia"/>
          <w:sz w:val="28"/>
          <w:szCs w:val="28"/>
          <w:lang w:val="en-US" w:eastAsia="zh-CN"/>
        </w:rPr>
        <w:t>通知如下：</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b/>
          <w:bCs/>
          <w:sz w:val="28"/>
          <w:szCs w:val="28"/>
          <w:lang w:val="en-US" w:eastAsia="zh-CN"/>
        </w:rPr>
      </w:pPr>
      <w:r>
        <w:rPr>
          <w:rFonts w:hint="eastAsia"/>
          <w:b/>
          <w:bCs/>
          <w:sz w:val="28"/>
          <w:szCs w:val="28"/>
          <w:lang w:val="en-US" w:eastAsia="zh-CN"/>
        </w:rPr>
        <w:t>一</w:t>
      </w:r>
      <w:r>
        <w:rPr>
          <w:rFonts w:hint="default"/>
          <w:b/>
          <w:bCs/>
          <w:sz w:val="28"/>
          <w:szCs w:val="28"/>
          <w:lang w:val="en-US" w:eastAsia="zh-CN"/>
        </w:rPr>
        <w:t>、培训对象及要求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t>1</w:t>
      </w:r>
      <w:r>
        <w:rPr>
          <w:rFonts w:hint="eastAsia"/>
          <w:sz w:val="28"/>
          <w:szCs w:val="28"/>
          <w:lang w:val="en-US" w:eastAsia="zh-CN"/>
        </w:rPr>
        <w:t>、</w:t>
      </w:r>
      <w:r>
        <w:rPr>
          <w:rFonts w:hint="default"/>
          <w:sz w:val="28"/>
          <w:szCs w:val="28"/>
          <w:lang w:val="en-US" w:eastAsia="zh-CN"/>
        </w:rPr>
        <w:t>招收对象：</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（1）</w:t>
      </w:r>
      <w:r>
        <w:rPr>
          <w:rFonts w:hint="default"/>
          <w:sz w:val="28"/>
          <w:szCs w:val="28"/>
          <w:lang w:val="en-US" w:eastAsia="zh-CN"/>
        </w:rPr>
        <w:t>全国各植物园、科研</w:t>
      </w:r>
      <w:r>
        <w:rPr>
          <w:rFonts w:hint="eastAsia"/>
          <w:sz w:val="28"/>
          <w:szCs w:val="28"/>
          <w:lang w:val="en-US" w:eastAsia="zh-CN"/>
        </w:rPr>
        <w:t>院所</w:t>
      </w:r>
      <w:r>
        <w:rPr>
          <w:rFonts w:hint="default"/>
          <w:sz w:val="28"/>
          <w:szCs w:val="28"/>
          <w:lang w:val="en-US" w:eastAsia="zh-CN"/>
        </w:rPr>
        <w:t>、高等院校、自然保护区</w:t>
      </w:r>
      <w:r>
        <w:rPr>
          <w:rFonts w:hint="eastAsia"/>
          <w:sz w:val="28"/>
          <w:szCs w:val="28"/>
          <w:lang w:val="en-US" w:eastAsia="zh-CN"/>
        </w:rPr>
        <w:t>、从事植物研究调查、资源保育等</w:t>
      </w:r>
      <w:r>
        <w:rPr>
          <w:rFonts w:hint="default"/>
          <w:sz w:val="28"/>
          <w:szCs w:val="28"/>
          <w:lang w:val="en-US" w:eastAsia="zh-CN"/>
        </w:rPr>
        <w:t>专业技术人员；</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（2）</w:t>
      </w:r>
      <w:r>
        <w:rPr>
          <w:rFonts w:hint="default"/>
          <w:sz w:val="28"/>
          <w:szCs w:val="28"/>
          <w:lang w:val="en-US" w:eastAsia="zh-CN"/>
        </w:rPr>
        <w:t>植物学、生态学、林学等相关专业</w:t>
      </w:r>
      <w:r>
        <w:rPr>
          <w:rFonts w:hint="eastAsia"/>
          <w:sz w:val="28"/>
          <w:szCs w:val="28"/>
          <w:lang w:val="en-US" w:eastAsia="zh-CN"/>
        </w:rPr>
        <w:t>在读学生</w:t>
      </w:r>
      <w:r>
        <w:rPr>
          <w:rFonts w:hint="default"/>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（3）</w:t>
      </w:r>
      <w:r>
        <w:rPr>
          <w:rFonts w:hint="default"/>
          <w:sz w:val="28"/>
          <w:szCs w:val="28"/>
          <w:lang w:val="en-US" w:eastAsia="zh-CN"/>
        </w:rPr>
        <w:t>自然教育从业者及具备基础植物辨识知识的植物爱好者。</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t>2、招生规模：本次培训班限额招生50人，报满即止。</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t>3、基本要求：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t>培训包含野外实践环节，</w:t>
      </w:r>
      <w:r>
        <w:rPr>
          <w:rFonts w:hint="eastAsia"/>
          <w:sz w:val="28"/>
          <w:szCs w:val="28"/>
          <w:lang w:val="en-US" w:eastAsia="zh-CN"/>
        </w:rPr>
        <w:t>须</w:t>
      </w:r>
      <w:r>
        <w:rPr>
          <w:rFonts w:hint="default"/>
          <w:sz w:val="28"/>
          <w:szCs w:val="28"/>
          <w:lang w:val="en-US" w:eastAsia="zh-CN"/>
        </w:rPr>
        <w:t>具备中等强度体力活动能力</w:t>
      </w:r>
      <w:r>
        <w:rPr>
          <w:rFonts w:hint="eastAsia"/>
          <w:sz w:val="28"/>
          <w:szCs w:val="28"/>
          <w:lang w:val="en-US" w:eastAsia="zh-CN"/>
        </w:rPr>
        <w:t>，</w:t>
      </w:r>
      <w:r>
        <w:rPr>
          <w:rFonts w:hint="default"/>
          <w:sz w:val="28"/>
          <w:szCs w:val="28"/>
          <w:lang w:val="en-US" w:eastAsia="zh-CN"/>
        </w:rPr>
        <w:t>身体健康。特殊</w:t>
      </w:r>
      <w:r>
        <w:rPr>
          <w:rFonts w:hint="eastAsia"/>
          <w:sz w:val="28"/>
          <w:szCs w:val="28"/>
          <w:lang w:val="en-US" w:eastAsia="zh-CN"/>
        </w:rPr>
        <w:t>情况</w:t>
      </w:r>
      <w:r>
        <w:rPr>
          <w:rFonts w:hint="default"/>
          <w:sz w:val="28"/>
          <w:szCs w:val="28"/>
          <w:lang w:val="en-US" w:eastAsia="zh-CN"/>
        </w:rPr>
        <w:t>自备药物。</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学员全程参与课程学习、顺利完成理论考核与野外实践任务，可获得陕西省植物学会盖章的结业证书。</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default"/>
          <w:b/>
          <w:bCs/>
          <w:sz w:val="28"/>
          <w:szCs w:val="28"/>
          <w:lang w:val="en-US" w:eastAsia="zh-CN"/>
        </w:rPr>
      </w:pPr>
      <w:r>
        <w:rPr>
          <w:rFonts w:hint="eastAsia"/>
          <w:b/>
          <w:bCs/>
          <w:sz w:val="28"/>
          <w:szCs w:val="28"/>
          <w:lang w:val="en-US" w:eastAsia="zh-CN"/>
        </w:rPr>
        <w:t>二</w:t>
      </w:r>
      <w:r>
        <w:rPr>
          <w:rFonts w:hint="default"/>
          <w:b/>
          <w:bCs/>
          <w:sz w:val="28"/>
          <w:szCs w:val="28"/>
          <w:lang w:val="en-US" w:eastAsia="zh-CN"/>
        </w:rPr>
        <w:t>、培训组织</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default"/>
          <w:sz w:val="28"/>
          <w:szCs w:val="28"/>
          <w:lang w:val="en-US" w:eastAsia="zh-CN"/>
        </w:rPr>
        <w:t>主办单位：</w:t>
      </w:r>
      <w:r>
        <w:rPr>
          <w:rFonts w:hint="eastAsia"/>
          <w:sz w:val="28"/>
          <w:szCs w:val="28"/>
          <w:lang w:val="en-US" w:eastAsia="zh-CN"/>
        </w:rPr>
        <w:t>陕西省植物学会</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default"/>
          <w:sz w:val="28"/>
          <w:szCs w:val="28"/>
          <w:lang w:val="en-US" w:eastAsia="zh-CN"/>
        </w:rPr>
        <w:t>承办单位：</w:t>
      </w:r>
      <w:r>
        <w:rPr>
          <w:rFonts w:hint="eastAsia"/>
          <w:sz w:val="28"/>
          <w:szCs w:val="28"/>
          <w:lang w:val="en-US" w:eastAsia="zh-CN"/>
        </w:rPr>
        <w:t>秦岭国家植物园</w:t>
      </w:r>
      <w:r>
        <w:rPr>
          <w:rFonts w:hint="default"/>
          <w:sz w:val="28"/>
          <w:szCs w:val="28"/>
          <w:lang w:val="en-US" w:eastAsia="zh-CN"/>
        </w:rPr>
        <w:t>、</w:t>
      </w:r>
      <w:r>
        <w:rPr>
          <w:rFonts w:hint="eastAsia"/>
          <w:sz w:val="28"/>
          <w:szCs w:val="28"/>
          <w:lang w:val="en-US" w:eastAsia="zh-CN"/>
        </w:rPr>
        <w:t>西北大学</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协办单位：陕西秦岭植物园建设开发有限公司周至分公司</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default"/>
          <w:b/>
          <w:bCs/>
          <w:sz w:val="28"/>
          <w:szCs w:val="28"/>
          <w:lang w:val="en-US" w:eastAsia="zh-CN"/>
        </w:rPr>
      </w:pPr>
      <w:r>
        <w:rPr>
          <w:rFonts w:hint="eastAsia"/>
          <w:b/>
          <w:bCs/>
          <w:sz w:val="28"/>
          <w:szCs w:val="28"/>
          <w:lang w:val="en-US" w:eastAsia="zh-CN"/>
        </w:rPr>
        <w:t>三</w:t>
      </w:r>
      <w:r>
        <w:rPr>
          <w:rFonts w:hint="default"/>
          <w:b/>
          <w:bCs/>
          <w:sz w:val="28"/>
          <w:szCs w:val="28"/>
          <w:lang w:val="en-US" w:eastAsia="zh-CN"/>
        </w:rPr>
        <w:t>、培训时间</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t>2026年7月</w:t>
      </w:r>
      <w:r>
        <w:rPr>
          <w:rFonts w:hint="eastAsia"/>
          <w:sz w:val="28"/>
          <w:szCs w:val="28"/>
          <w:lang w:val="en-US" w:eastAsia="zh-CN"/>
        </w:rPr>
        <w:t>26日-8月1日</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default"/>
          <w:b/>
          <w:bCs/>
          <w:sz w:val="28"/>
          <w:szCs w:val="28"/>
          <w:lang w:val="en-US" w:eastAsia="zh-CN"/>
        </w:rPr>
      </w:pPr>
      <w:r>
        <w:rPr>
          <w:rFonts w:hint="eastAsia"/>
          <w:b/>
          <w:bCs/>
          <w:sz w:val="28"/>
          <w:szCs w:val="28"/>
          <w:lang w:val="en-US" w:eastAsia="zh-CN"/>
        </w:rPr>
        <w:t>四</w:t>
      </w:r>
      <w:r>
        <w:rPr>
          <w:rFonts w:hint="default"/>
          <w:b/>
          <w:bCs/>
          <w:sz w:val="28"/>
          <w:szCs w:val="28"/>
          <w:lang w:val="en-US" w:eastAsia="zh-CN"/>
        </w:rPr>
        <w:t>、培训地点</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1.理论教学点：秦岭国家植物园（内设专属研学授课场地，配套完善教学设备）；</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2.实训教学点：秦岭国家植物园就地、迁地保护区，西安朱雀国家森林公园。</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default"/>
          <w:b/>
          <w:bCs/>
          <w:sz w:val="28"/>
          <w:szCs w:val="28"/>
          <w:lang w:val="en-US" w:eastAsia="zh-CN"/>
        </w:rPr>
      </w:pPr>
      <w:r>
        <w:rPr>
          <w:rFonts w:hint="eastAsia"/>
          <w:b/>
          <w:bCs/>
          <w:sz w:val="28"/>
          <w:szCs w:val="28"/>
          <w:lang w:val="en-US" w:eastAsia="zh-CN"/>
        </w:rPr>
        <w:t>五、培训课程及授课人安排</w:t>
      </w:r>
    </w:p>
    <w:tbl>
      <w:tblPr>
        <w:tblStyle w:val="8"/>
        <w:tblpPr w:leftFromText="180" w:rightFromText="180" w:vertAnchor="text" w:horzAnchor="page" w:tblpX="1177" w:tblpY="993"/>
        <w:tblOverlap w:val="never"/>
        <w:tblW w:w="989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6"/>
        <w:gridCol w:w="2050"/>
        <w:gridCol w:w="3700"/>
        <w:gridCol w:w="1384"/>
        <w:gridCol w:w="12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12" w:hRule="atLeast"/>
        </w:trPr>
        <w:tc>
          <w:tcPr>
            <w:tcW w:w="9893" w:type="dxa"/>
            <w:gridSpan w:val="5"/>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ascii="黑体" w:hAnsi="宋体" w:eastAsia="黑体" w:cs="黑体"/>
                <w:i w:val="0"/>
                <w:iCs w:val="0"/>
                <w:color w:val="000000"/>
                <w:sz w:val="48"/>
                <w:szCs w:val="48"/>
                <w:u w:val="none"/>
              </w:rPr>
            </w:pPr>
            <w:r>
              <w:rPr>
                <w:rFonts w:hint="eastAsia" w:ascii="黑体" w:hAnsi="宋体" w:eastAsia="黑体" w:cs="黑体"/>
                <w:i w:val="0"/>
                <w:iCs w:val="0"/>
                <w:color w:val="000000"/>
                <w:kern w:val="0"/>
                <w:sz w:val="28"/>
                <w:szCs w:val="28"/>
                <w:u w:val="none"/>
                <w:lang w:val="en-US" w:eastAsia="zh-CN" w:bidi="ar"/>
              </w:rPr>
              <w:t>课程安排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 w:hRule="atLeast"/>
        </w:trPr>
        <w:tc>
          <w:tcPr>
            <w:tcW w:w="35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时间</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培训内容</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主持人/主讲人</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4" w:hRule="exact"/>
        </w:trPr>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7月26日</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全天</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32"/>
                <w:szCs w:val="32"/>
                <w:u w:val="none"/>
                <w:lang w:val="en-US" w:eastAsia="zh-CN" w:bidi="ar"/>
              </w:rPr>
              <w:t>报到</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秦岭国家植物园专家公寓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7月27日</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08:30-09:00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开班式、合影</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秦岭国家植物园学术报告厅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9"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09:00-11:00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植物分类学概论及系统发育进展</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刘培亮</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9" w:hRule="atLeast"/>
        </w:trPr>
        <w:tc>
          <w:tcPr>
            <w:tcW w:w="146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11:10-12:00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从数据到行动：世界植物多样性现状与BGCI保护资源应用</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文香英</w:t>
            </w:r>
          </w:p>
        </w:tc>
        <w:tc>
          <w:tcPr>
            <w:tcW w:w="129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14:00-16:00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石松类和蕨类植物系统与分类</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卢元</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16:10-18:00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植物野外识别与采集</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卢元</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药用园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19:00-21:00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植物识别与标本制作</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卢元</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刘培亮</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标本馆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7月28日</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08:30-09:30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裸子植物</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刘培亮</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秦岭国家植物园学术报告厅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09:40-12:00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被子植物分类（1）——单子叶植物</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寻路路</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14:00-16:00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被子植物的形态术语</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刘培亮</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16:10-17:00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植物摄影技术</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卢元</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17:00-18:00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摄影技术野外实践</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卢元</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蔷薇园、槭树园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19:00-21:00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植物识别与标本制作</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卢元</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刘培亮</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标本馆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7月29日</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08:30-10:30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被子植物分类（2）——基部类群</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刘培亮</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秦岭国家植物园学术报告厅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10:40-12:00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被子植物分类（3）——兰科</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黎斌</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14:00-16:30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被子植物分类（4）——超菊分支</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卢元</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16:40-18:00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植物野外采集与识别</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黎斌</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百花园、百草园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19:30-21:00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植物识别与标本制作</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黎斌</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卢元</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标本馆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32"/>
                <w:szCs w:val="32"/>
                <w:u w:val="none"/>
                <w:lang w:val="en-US" w:eastAsia="zh-CN" w:bidi="ar"/>
              </w:rPr>
              <w:t>7月30日</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08:30-10:00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被子植物分类（5）——超蔷薇分支</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lang w:val="en-US" w:eastAsia="zh-CN"/>
              </w:rPr>
            </w:pPr>
            <w:r>
              <w:rPr>
                <w:rFonts w:hint="eastAsia" w:ascii="仿宋" w:hAnsi="仿宋" w:eastAsia="仿宋" w:cs="仿宋"/>
                <w:i w:val="0"/>
                <w:iCs w:val="0"/>
                <w:color w:val="000000"/>
                <w:sz w:val="32"/>
                <w:szCs w:val="32"/>
                <w:u w:val="none"/>
                <w:lang w:val="en-US" w:eastAsia="zh-CN"/>
              </w:rPr>
              <w:t>黎斌</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秦岭国家植物园学术报告厅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10:20-12:00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如何阅读植物志和植物分类学文献</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杜诚</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14:00-15:30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如何进行分类学修订和发表新物种</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杜诚</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15:40-17:00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珍稀濒危植物的迁地保护技术</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李亚利</w:t>
            </w: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17:00-18:00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珍稀濒危植物的迁地保护野外实践</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李亚利</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秦巴园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19:30-21:00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植物分类学考试</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杜诚</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李亚利</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标本馆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6" w:hRule="atLeast"/>
        </w:trPr>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7月31日</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08:00-18:00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野外植物分类学实践</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吴振海黎斌</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李亚利</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徐哲超</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西安朱雀国家森林公园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8月1日</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08:30-10:00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种质资源调查</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黎斌</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秦岭国家植物园学术报告厅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10:00-12:00</w:t>
            </w:r>
          </w:p>
        </w:tc>
        <w:tc>
          <w:tcPr>
            <w:tcW w:w="3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种质资源调查野外实践</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黎斌</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秦巴园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 w:hRule="atLeast"/>
        </w:trPr>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仿宋" w:hAnsi="仿宋" w:eastAsia="仿宋" w:cs="仿宋"/>
                <w:i w:val="0"/>
                <w:iCs w:val="0"/>
                <w:color w:val="000000"/>
                <w:sz w:val="32"/>
                <w:szCs w:val="32"/>
                <w:u w:val="none"/>
              </w:rPr>
            </w:pPr>
          </w:p>
        </w:tc>
        <w:tc>
          <w:tcPr>
            <w:tcW w:w="84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返程</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562" w:firstLineChars="200"/>
        <w:textAlignment w:val="auto"/>
        <w:rPr>
          <w:rFonts w:hint="eastAsia"/>
          <w:b/>
          <w:bCs/>
          <w:sz w:val="28"/>
          <w:szCs w:val="28"/>
          <w:lang w:val="en-US" w:eastAsia="zh-CN"/>
        </w:rPr>
      </w:pPr>
      <w:r>
        <w:rPr>
          <w:rFonts w:hint="eastAsia"/>
          <w:b/>
          <w:bCs/>
          <w:sz w:val="28"/>
          <w:szCs w:val="28"/>
          <w:lang w:val="en-US" w:eastAsia="zh-CN"/>
        </w:rPr>
        <w:t>报名注册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b w:val="0"/>
          <w:bCs w:val="0"/>
          <w:sz w:val="28"/>
          <w:szCs w:val="28"/>
          <w:lang w:val="en-US" w:eastAsia="zh-CN"/>
        </w:rPr>
      </w:pPr>
      <w:r>
        <w:rPr>
          <w:rFonts w:hint="eastAsia"/>
          <w:b w:val="0"/>
          <w:bCs w:val="0"/>
          <w:sz w:val="28"/>
          <w:szCs w:val="28"/>
          <w:lang w:val="en-US" w:eastAsia="zh-CN"/>
        </w:rPr>
        <w:t>1、注册方式</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线上注册，请将注册回执发送至联系邮箱：</w:t>
      </w:r>
      <w:r>
        <w:rPr>
          <w:rFonts w:hint="default"/>
          <w:sz w:val="28"/>
          <w:szCs w:val="28"/>
          <w:lang w:val="en-US" w:eastAsia="zh-CN"/>
        </w:rPr>
        <w:t>qlnbgkyzx@163.com</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b/>
          <w:bCs/>
          <w:sz w:val="28"/>
          <w:szCs w:val="28"/>
          <w:lang w:val="en-US" w:eastAsia="zh-CN"/>
        </w:rPr>
      </w:pPr>
      <w:r>
        <w:rPr>
          <w:rFonts w:hint="eastAsia"/>
          <w:sz w:val="28"/>
          <w:szCs w:val="28"/>
          <w:lang w:val="en-US" w:eastAsia="zh-CN"/>
        </w:rPr>
        <w:t>注册</w:t>
      </w:r>
      <w:r>
        <w:rPr>
          <w:rFonts w:hint="default"/>
          <w:sz w:val="28"/>
          <w:szCs w:val="28"/>
          <w:lang w:val="en-US" w:eastAsia="zh-CN"/>
        </w:rPr>
        <w:t>截止时间：2026年</w:t>
      </w:r>
      <w:r>
        <w:rPr>
          <w:rFonts w:hint="eastAsia"/>
          <w:sz w:val="28"/>
          <w:szCs w:val="28"/>
          <w:lang w:val="en-US" w:eastAsia="zh-CN"/>
        </w:rPr>
        <w:t>7</w:t>
      </w:r>
      <w:r>
        <w:rPr>
          <w:rFonts w:hint="default"/>
          <w:sz w:val="28"/>
          <w:szCs w:val="28"/>
          <w:lang w:val="en-US" w:eastAsia="zh-CN"/>
        </w:rPr>
        <w:t>月</w:t>
      </w:r>
      <w:r>
        <w:rPr>
          <w:rFonts w:hint="eastAsia"/>
          <w:sz w:val="28"/>
          <w:szCs w:val="28"/>
          <w:lang w:val="en-US" w:eastAsia="zh-CN"/>
        </w:rPr>
        <w:t>15</w:t>
      </w:r>
      <w:r>
        <w:rPr>
          <w:rFonts w:hint="default"/>
          <w:sz w:val="28"/>
          <w:szCs w:val="28"/>
          <w:lang w:val="en-US" w:eastAsia="zh-CN"/>
        </w:rPr>
        <w:t>日，逾期不再受理</w:t>
      </w:r>
      <w:r>
        <w:rPr>
          <w:rFonts w:hint="eastAsia"/>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2、收费标准及相关说明：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560" w:firstLineChars="200"/>
        <w:textAlignment w:val="auto"/>
        <w:rPr>
          <w:rFonts w:hint="eastAsia"/>
          <w:sz w:val="28"/>
          <w:szCs w:val="28"/>
          <w:lang w:val="en-US" w:eastAsia="zh-CN"/>
        </w:rPr>
      </w:pPr>
      <w:r>
        <w:rPr>
          <w:rFonts w:hint="eastAsia"/>
          <w:sz w:val="28"/>
          <w:szCs w:val="28"/>
          <w:lang w:val="en-US" w:eastAsia="zh-CN"/>
        </w:rPr>
        <w:t>（1）中国植物园联合保护计划（ICCBG）成员单位学员：1500元/人；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（2）全日制脱产在读学生（不含博士后）：1000元/人（凭学生证）；</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（3）其他学员：2000元/人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3、缴费方式：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sz w:val="28"/>
          <w:szCs w:val="28"/>
          <w:lang w:eastAsia="zh-CN"/>
        </w:rPr>
      </w:pPr>
      <w:r>
        <w:rPr>
          <w:rFonts w:hint="eastAsia"/>
          <w:sz w:val="28"/>
          <w:szCs w:val="28"/>
          <w:lang w:eastAsia="zh-CN"/>
        </w:rPr>
        <w:t>费</w:t>
      </w:r>
      <w:r>
        <w:rPr>
          <w:rFonts w:hint="eastAsia"/>
          <w:sz w:val="28"/>
          <w:szCs w:val="28"/>
          <w:lang w:val="en-US" w:eastAsia="zh-CN"/>
        </w:rPr>
        <w:t>用</w:t>
      </w:r>
      <w:r>
        <w:rPr>
          <w:rFonts w:hint="eastAsia"/>
          <w:sz w:val="28"/>
          <w:szCs w:val="28"/>
          <w:lang w:eastAsia="zh-CN"/>
        </w:rPr>
        <w:t>由</w:t>
      </w:r>
      <w:r>
        <w:rPr>
          <w:rFonts w:hint="eastAsia"/>
          <w:sz w:val="28"/>
          <w:szCs w:val="28"/>
          <w:lang w:val="en-US" w:eastAsia="zh-CN"/>
        </w:rPr>
        <w:t>陕西秦岭植物园建设开发有限公司周至分公司收取并开具电子发票。缴费方式为线上缴费或</w:t>
      </w:r>
      <w:r>
        <w:rPr>
          <w:rFonts w:hint="eastAsia"/>
          <w:sz w:val="28"/>
          <w:szCs w:val="28"/>
        </w:rPr>
        <w:t>银行</w:t>
      </w:r>
      <w:r>
        <w:rPr>
          <w:rFonts w:hint="eastAsia"/>
          <w:sz w:val="28"/>
          <w:szCs w:val="28"/>
          <w:lang w:eastAsia="zh-CN"/>
        </w:rPr>
        <w:t>转帐</w:t>
      </w:r>
      <w:r>
        <w:rPr>
          <w:rFonts w:hint="eastAsia"/>
          <w:sz w:val="28"/>
          <w:szCs w:val="28"/>
        </w:rPr>
        <w:t>汇款</w:t>
      </w:r>
      <w:r>
        <w:rPr>
          <w:rFonts w:hint="eastAsia"/>
          <w:sz w:val="28"/>
          <w:szCs w:val="28"/>
          <w:lang w:eastAsia="zh-CN"/>
        </w:rPr>
        <w:t>，不接受现场缴费。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drawing>
          <wp:inline distT="0" distB="0" distL="114300" distR="114300">
            <wp:extent cx="1263650" cy="1497965"/>
            <wp:effectExtent l="0" t="0" r="1270" b="10795"/>
            <wp:docPr id="1" name="图片 1" descr="建设公司缴费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建设公司缴费二维码"/>
                    <pic:cNvPicPr>
                      <a:picLocks noChangeAspect="1"/>
                    </pic:cNvPicPr>
                  </pic:nvPicPr>
                  <pic:blipFill>
                    <a:blip r:embed="rId6"/>
                    <a:srcRect l="24297" t="28250" r="24593" b="27203"/>
                    <a:stretch>
                      <a:fillRect/>
                    </a:stretch>
                  </pic:blipFill>
                  <pic:spPr>
                    <a:xfrm>
                      <a:off x="0" y="0"/>
                      <a:ext cx="1263650" cy="149796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840" w:firstLineChars="300"/>
        <w:textAlignment w:val="auto"/>
        <w:rPr>
          <w:rFonts w:hint="default"/>
          <w:sz w:val="28"/>
          <w:szCs w:val="28"/>
          <w:lang w:val="en-US" w:eastAsia="zh-CN"/>
        </w:rPr>
      </w:pPr>
      <w:r>
        <w:rPr>
          <w:rFonts w:hint="eastAsia"/>
          <w:sz w:val="28"/>
          <w:szCs w:val="28"/>
          <w:lang w:val="en-US" w:eastAsia="zh-CN"/>
        </w:rPr>
        <w:t>缴费二维码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rPr>
        <w:t>户名</w:t>
      </w:r>
      <w:r>
        <w:rPr>
          <w:rFonts w:hint="eastAsia"/>
          <w:sz w:val="28"/>
          <w:szCs w:val="28"/>
          <w:lang w:val="en-US" w:eastAsia="zh-CN"/>
        </w:rPr>
        <w:t>：陕西秦岭植物园建设开发有限公司周至分公司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税号:91610124MA6U7NF36U</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rPr>
        <w:t>开户行名称</w:t>
      </w:r>
      <w:r>
        <w:rPr>
          <w:rFonts w:hint="eastAsia"/>
          <w:sz w:val="28"/>
          <w:szCs w:val="28"/>
          <w:lang w:val="en-US" w:eastAsia="zh-CN"/>
        </w:rPr>
        <w:t>：中国农业银行周至县终南分理处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rPr>
        <w:t>支行银行账号</w:t>
      </w:r>
      <w:r>
        <w:rPr>
          <w:rFonts w:hint="eastAsia"/>
          <w:sz w:val="28"/>
          <w:szCs w:val="28"/>
          <w:lang w:val="en-US" w:eastAsia="zh-CN"/>
        </w:rPr>
        <w:t>：26165401040004286</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eastAsia="zh-CN"/>
        </w:rPr>
        <w:t>请参</w:t>
      </w:r>
      <w:r>
        <w:rPr>
          <w:rFonts w:hint="eastAsia"/>
          <w:sz w:val="28"/>
          <w:szCs w:val="28"/>
          <w:lang w:val="en-US" w:eastAsia="zh-CN"/>
        </w:rPr>
        <w:t>加人</w:t>
      </w:r>
      <w:r>
        <w:rPr>
          <w:rFonts w:hint="eastAsia"/>
          <w:sz w:val="28"/>
          <w:szCs w:val="28"/>
          <w:lang w:eastAsia="zh-CN"/>
        </w:rPr>
        <w:t>员扫描“缴费二维码”</w:t>
      </w:r>
      <w:r>
        <w:rPr>
          <w:rFonts w:hint="eastAsia"/>
          <w:sz w:val="28"/>
          <w:szCs w:val="28"/>
          <w:lang w:val="en-US" w:eastAsia="zh-CN"/>
        </w:rPr>
        <w:t>缴费</w:t>
      </w:r>
      <w:r>
        <w:rPr>
          <w:rFonts w:hint="eastAsia"/>
          <w:sz w:val="28"/>
          <w:szCs w:val="28"/>
          <w:lang w:eastAsia="zh-CN"/>
        </w:rPr>
        <w:t>。单位要求公务卡支付的，请选择公务卡支付渠道，务必准确填写发票信息单位全称、纳税人识别号和电子邮箱。如多人一起缴费，需在扫描二维码缴费时，备注清楚所有人员姓名。</w:t>
      </w:r>
      <w:r>
        <w:rPr>
          <w:rFonts w:hint="eastAsia"/>
          <w:sz w:val="28"/>
          <w:szCs w:val="28"/>
          <w:lang w:val="en-US" w:eastAsia="zh-CN"/>
        </w:rPr>
        <w:t>注册完后如本人无法参加培训，可以更换参加人员。</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b/>
          <w:bCs/>
          <w:sz w:val="28"/>
          <w:szCs w:val="28"/>
          <w:lang w:val="en-US" w:eastAsia="zh-CN"/>
        </w:rPr>
      </w:pPr>
      <w:r>
        <w:rPr>
          <w:rFonts w:hint="eastAsia"/>
          <w:b/>
          <w:bCs/>
          <w:sz w:val="28"/>
          <w:szCs w:val="28"/>
          <w:lang w:val="en-US" w:eastAsia="zh-CN"/>
        </w:rPr>
        <w:t>七、住宿标准及费用说明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住宿</w:t>
      </w:r>
      <w:r>
        <w:rPr>
          <w:rFonts w:hint="default"/>
          <w:sz w:val="28"/>
          <w:szCs w:val="28"/>
          <w:lang w:val="en-US" w:eastAsia="zh-CN"/>
        </w:rPr>
        <w:t>统一安排</w:t>
      </w:r>
      <w:r>
        <w:rPr>
          <w:rFonts w:hint="eastAsia"/>
          <w:sz w:val="28"/>
          <w:szCs w:val="28"/>
          <w:lang w:val="en-US" w:eastAsia="zh-CN"/>
        </w:rPr>
        <w:t>在秦岭国家植物园专家公寓、牡丹苑</w:t>
      </w:r>
      <w:r>
        <w:rPr>
          <w:rFonts w:hint="default"/>
          <w:sz w:val="28"/>
          <w:szCs w:val="28"/>
          <w:lang w:val="en-US" w:eastAsia="zh-CN"/>
        </w:rPr>
        <w:t>，</w:t>
      </w:r>
      <w:r>
        <w:rPr>
          <w:rFonts w:hint="eastAsia"/>
          <w:sz w:val="28"/>
          <w:szCs w:val="28"/>
          <w:lang w:val="en-US" w:eastAsia="zh-CN"/>
        </w:rPr>
        <w:t>均为标间，建议学员两人一间，标间260元/天，合住130元/人/天，住宿费由学员自理。</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default"/>
          <w:b/>
          <w:bCs/>
          <w:sz w:val="28"/>
          <w:szCs w:val="28"/>
          <w:lang w:val="en-US" w:eastAsia="zh-CN"/>
        </w:rPr>
      </w:pPr>
      <w:r>
        <w:rPr>
          <w:rFonts w:hint="eastAsia"/>
          <w:b/>
          <w:bCs/>
          <w:sz w:val="28"/>
          <w:szCs w:val="28"/>
          <w:lang w:val="en-US" w:eastAsia="zh-CN"/>
        </w:rPr>
        <w:t>八</w:t>
      </w:r>
      <w:r>
        <w:rPr>
          <w:rFonts w:hint="default"/>
          <w:b/>
          <w:bCs/>
          <w:sz w:val="28"/>
          <w:szCs w:val="28"/>
          <w:lang w:val="en-US" w:eastAsia="zh-CN"/>
        </w:rPr>
        <w:t>、联系方式</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秦岭国家植物园 王 昕</w:t>
      </w:r>
      <w:r>
        <w:rPr>
          <w:rFonts w:hint="default"/>
          <w:sz w:val="28"/>
          <w:szCs w:val="28"/>
          <w:lang w:val="en-US" w:eastAsia="zh-CN"/>
        </w:rPr>
        <w:t xml:space="preserve"> </w:t>
      </w:r>
      <w:r>
        <w:rPr>
          <w:rFonts w:hint="eastAsia"/>
          <w:sz w:val="28"/>
          <w:szCs w:val="28"/>
          <w:lang w:val="en-US" w:eastAsia="zh-CN"/>
        </w:rPr>
        <w:t>19591313538</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附件1：注册回执</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附件2：授课老师简介</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t>陕西省植物学会</w:t>
      </w:r>
      <w:r>
        <w:rPr>
          <w:rFonts w:hint="eastAsia"/>
          <w:sz w:val="28"/>
          <w:szCs w:val="28"/>
          <w:lang w:val="en-US" w:eastAsia="zh-CN"/>
        </w:rPr>
        <w:t xml:space="preserve">                  </w:t>
      </w:r>
      <w:r>
        <w:rPr>
          <w:rFonts w:hint="default"/>
          <w:sz w:val="28"/>
          <w:szCs w:val="28"/>
          <w:lang w:val="en-US" w:eastAsia="zh-CN"/>
        </w:rPr>
        <w:t>秦岭国家植物园</w:t>
      </w:r>
    </w:p>
    <w:p>
      <w:pPr>
        <w:keepNext w:val="0"/>
        <w:keepLines w:val="0"/>
        <w:pageBreakBefore w:val="0"/>
        <w:widowControl w:val="0"/>
        <w:kinsoku/>
        <w:wordWrap/>
        <w:overflowPunct/>
        <w:topLinePunct w:val="0"/>
        <w:autoSpaceDE/>
        <w:autoSpaceDN/>
        <w:bidi w:val="0"/>
        <w:adjustRightInd/>
        <w:snapToGrid/>
        <w:spacing w:line="240" w:lineRule="auto"/>
        <w:ind w:firstLine="4200" w:firstLineChars="1500"/>
        <w:textAlignment w:val="auto"/>
        <w:rPr>
          <w:rFonts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200" w:firstLineChars="1500"/>
        <w:textAlignment w:val="auto"/>
        <w:rPr>
          <w:rFonts w:hint="default"/>
          <w:sz w:val="28"/>
          <w:szCs w:val="28"/>
          <w:lang w:val="en-US" w:eastAsia="zh-CN"/>
        </w:rPr>
      </w:pPr>
    </w:p>
    <w:p>
      <w:pPr>
        <w:keepNext w:val="0"/>
        <w:keepLines w:val="0"/>
        <w:pageBreakBefore w:val="0"/>
        <w:kinsoku/>
        <w:wordWrap/>
        <w:overflowPunct/>
        <w:topLinePunct w:val="0"/>
        <w:autoSpaceDE/>
        <w:autoSpaceDN/>
        <w:bidi w:val="0"/>
        <w:adjustRightInd/>
        <w:snapToGrid/>
        <w:spacing w:line="240" w:lineRule="auto"/>
        <w:ind w:firstLine="5040" w:firstLineChars="1800"/>
        <w:rPr>
          <w:rFonts w:hint="eastAsia"/>
          <w:sz w:val="28"/>
          <w:szCs w:val="28"/>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sz w:val="28"/>
          <w:szCs w:val="28"/>
        </w:rPr>
        <w:t>2026年</w:t>
      </w:r>
      <w:r>
        <w:rPr>
          <w:rFonts w:hint="eastAsia"/>
          <w:sz w:val="28"/>
          <w:szCs w:val="28"/>
          <w:lang w:val="en-US" w:eastAsia="zh-CN"/>
        </w:rPr>
        <w:t>7</w:t>
      </w:r>
      <w:r>
        <w:rPr>
          <w:rFonts w:hint="eastAsia"/>
          <w:sz w:val="28"/>
          <w:szCs w:val="28"/>
        </w:rPr>
        <w:t>月</w:t>
      </w:r>
      <w:r>
        <w:rPr>
          <w:rFonts w:hint="eastAsia"/>
          <w:sz w:val="28"/>
          <w:szCs w:val="28"/>
          <w:lang w:val="en-US" w:eastAsia="zh-CN"/>
        </w:rPr>
        <w:t>2</w:t>
      </w:r>
      <w:r>
        <w:rPr>
          <w:rFonts w:hint="eastAsia"/>
          <w:sz w:val="28"/>
          <w:szCs w:val="28"/>
        </w:rPr>
        <w:t>日</w:t>
      </w:r>
    </w:p>
    <w:p>
      <w:pPr>
        <w:keepNext w:val="0"/>
        <w:keepLines w:val="0"/>
        <w:pageBreakBefore w:val="0"/>
        <w:kinsoku/>
        <w:wordWrap/>
        <w:overflowPunct/>
        <w:topLinePunct w:val="0"/>
        <w:autoSpaceDE/>
        <w:autoSpaceDN/>
        <w:bidi w:val="0"/>
        <w:adjustRightInd/>
        <w:snapToGrid/>
        <w:spacing w:line="240" w:lineRule="auto"/>
        <w:jc w:val="both"/>
        <w:rPr>
          <w:rFonts w:hint="eastAsia" w:eastAsia="楷体"/>
          <w:bCs/>
          <w:sz w:val="44"/>
          <w:szCs w:val="44"/>
          <w:lang w:val="en-US" w:eastAsia="zh-CN"/>
        </w:rPr>
      </w:pPr>
      <w:r>
        <w:rPr>
          <w:rFonts w:hint="eastAsia" w:eastAsia="楷体"/>
          <w:bCs/>
          <w:sz w:val="44"/>
          <w:szCs w:val="44"/>
          <w:lang w:val="en-US" w:eastAsia="zh-CN"/>
        </w:rPr>
        <w:t>附件1：</w:t>
      </w:r>
    </w:p>
    <w:p>
      <w:pPr>
        <w:keepNext w:val="0"/>
        <w:keepLines w:val="0"/>
        <w:pageBreakBefore w:val="0"/>
        <w:kinsoku/>
        <w:wordWrap/>
        <w:overflowPunct/>
        <w:topLinePunct w:val="0"/>
        <w:autoSpaceDE/>
        <w:autoSpaceDN/>
        <w:bidi w:val="0"/>
        <w:adjustRightInd/>
        <w:snapToGrid/>
        <w:spacing w:line="240" w:lineRule="auto"/>
        <w:jc w:val="center"/>
        <w:rPr>
          <w:rFonts w:eastAsia="楷体"/>
          <w:bCs/>
          <w:sz w:val="32"/>
          <w:szCs w:val="32"/>
        </w:rPr>
      </w:pPr>
      <w:r>
        <w:rPr>
          <w:rFonts w:eastAsia="楷体"/>
          <w:bCs/>
          <w:sz w:val="44"/>
          <w:szCs w:val="44"/>
        </w:rPr>
        <w:t>“</w:t>
      </w:r>
      <w:r>
        <w:rPr>
          <w:rFonts w:hint="eastAsia" w:eastAsia="楷体"/>
          <w:bCs/>
          <w:sz w:val="44"/>
          <w:szCs w:val="44"/>
        </w:rPr>
        <w:t>西北地区2026年植物分类与保育培训班</w:t>
      </w:r>
      <w:r>
        <w:rPr>
          <w:rFonts w:eastAsia="楷体"/>
          <w:bCs/>
          <w:sz w:val="44"/>
          <w:szCs w:val="44"/>
        </w:rPr>
        <w:t>”</w:t>
      </w:r>
    </w:p>
    <w:p>
      <w:pPr>
        <w:keepNext w:val="0"/>
        <w:keepLines w:val="0"/>
        <w:pageBreakBefore w:val="0"/>
        <w:kinsoku/>
        <w:wordWrap/>
        <w:overflowPunct/>
        <w:topLinePunct w:val="0"/>
        <w:autoSpaceDE/>
        <w:autoSpaceDN/>
        <w:bidi w:val="0"/>
        <w:adjustRightInd/>
        <w:snapToGrid/>
        <w:spacing w:line="240" w:lineRule="auto"/>
        <w:jc w:val="center"/>
        <w:rPr>
          <w:rFonts w:eastAsia="黑体"/>
          <w:bCs/>
          <w:sz w:val="48"/>
          <w:szCs w:val="32"/>
        </w:rPr>
      </w:pPr>
      <w:r>
        <w:rPr>
          <w:rFonts w:hint="eastAsia" w:eastAsia="黑体"/>
          <w:bCs/>
          <w:sz w:val="48"/>
          <w:szCs w:val="32"/>
          <w:lang w:val="en-US" w:eastAsia="zh-CN"/>
        </w:rPr>
        <w:t xml:space="preserve">注  册  </w:t>
      </w:r>
      <w:r>
        <w:rPr>
          <w:rFonts w:eastAsia="黑体"/>
          <w:bCs/>
          <w:sz w:val="48"/>
          <w:szCs w:val="32"/>
        </w:rPr>
        <w:t>回  执</w:t>
      </w:r>
    </w:p>
    <w:p>
      <w:pPr>
        <w:keepNext w:val="0"/>
        <w:keepLines w:val="0"/>
        <w:pageBreakBefore w:val="0"/>
        <w:kinsoku/>
        <w:wordWrap/>
        <w:overflowPunct/>
        <w:topLinePunct w:val="0"/>
        <w:autoSpaceDE/>
        <w:autoSpaceDN/>
        <w:bidi w:val="0"/>
        <w:adjustRightInd/>
        <w:snapToGrid/>
        <w:spacing w:line="240" w:lineRule="auto"/>
        <w:jc w:val="center"/>
        <w:rPr>
          <w:rFonts w:eastAsia="黑体"/>
          <w:bCs/>
          <w:sz w:val="48"/>
          <w:szCs w:val="32"/>
        </w:rPr>
      </w:pPr>
    </w:p>
    <w:tbl>
      <w:tblPr>
        <w:tblStyle w:val="8"/>
        <w:tblW w:w="149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1134"/>
        <w:gridCol w:w="1701"/>
        <w:gridCol w:w="1701"/>
        <w:gridCol w:w="2218"/>
        <w:gridCol w:w="1221"/>
        <w:gridCol w:w="2333"/>
        <w:gridCol w:w="2558"/>
        <w:gridCol w:w="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jc w:val="center"/>
        </w:trPr>
        <w:tc>
          <w:tcPr>
            <w:tcW w:w="2049" w:type="dxa"/>
            <w:vAlign w:val="center"/>
          </w:tcPr>
          <w:p>
            <w:pPr>
              <w:keepNext w:val="0"/>
              <w:keepLines w:val="0"/>
              <w:pageBreakBefore w:val="0"/>
              <w:kinsoku/>
              <w:wordWrap/>
              <w:overflowPunct/>
              <w:topLinePunct w:val="0"/>
              <w:autoSpaceDE/>
              <w:autoSpaceDN/>
              <w:bidi w:val="0"/>
              <w:adjustRightInd/>
              <w:snapToGrid/>
              <w:spacing w:line="240" w:lineRule="auto"/>
              <w:jc w:val="center"/>
              <w:rPr>
                <w:b/>
                <w:sz w:val="24"/>
                <w:szCs w:val="28"/>
              </w:rPr>
            </w:pPr>
            <w:r>
              <w:rPr>
                <w:b/>
                <w:sz w:val="24"/>
                <w:szCs w:val="28"/>
              </w:rPr>
              <w:t>工作单位</w:t>
            </w:r>
          </w:p>
        </w:tc>
        <w:tc>
          <w:tcPr>
            <w:tcW w:w="12886" w:type="dxa"/>
            <w:gridSpan w:val="8"/>
          </w:tcPr>
          <w:p>
            <w:pPr>
              <w:keepNext w:val="0"/>
              <w:keepLines w:val="0"/>
              <w:pageBreakBefore w:val="0"/>
              <w:kinsoku/>
              <w:wordWrap/>
              <w:overflowPunct/>
              <w:topLinePunct w:val="0"/>
              <w:autoSpaceDE/>
              <w:autoSpaceDN/>
              <w:bidi w:val="0"/>
              <w:adjustRightInd/>
              <w:snapToGrid/>
              <w:spacing w:line="240" w:lineRule="auto"/>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0" w:type="dxa"/>
          <w:trHeight w:val="397" w:hRule="atLeast"/>
          <w:jc w:val="center"/>
        </w:trPr>
        <w:tc>
          <w:tcPr>
            <w:tcW w:w="2049"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eastAsia="宋体"/>
                <w:b/>
                <w:sz w:val="24"/>
                <w:szCs w:val="28"/>
                <w:lang w:val="en-US" w:eastAsia="zh-CN"/>
              </w:rPr>
            </w:pPr>
            <w:r>
              <w:rPr>
                <w:rFonts w:hint="eastAsia"/>
                <w:b/>
                <w:sz w:val="24"/>
                <w:szCs w:val="28"/>
                <w:lang w:val="en-US" w:eastAsia="zh-CN"/>
              </w:rPr>
              <w:t>姓名</w:t>
            </w:r>
          </w:p>
        </w:tc>
        <w:tc>
          <w:tcPr>
            <w:tcW w:w="113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eastAsia="宋体"/>
                <w:b/>
                <w:sz w:val="24"/>
                <w:szCs w:val="28"/>
                <w:lang w:eastAsia="zh-CN"/>
              </w:rPr>
            </w:pPr>
            <w:r>
              <w:rPr>
                <w:rFonts w:hint="eastAsia"/>
                <w:b/>
                <w:sz w:val="24"/>
                <w:szCs w:val="28"/>
                <w:lang w:val="en-US" w:eastAsia="zh-CN"/>
              </w:rPr>
              <w:t>性别</w:t>
            </w:r>
          </w:p>
        </w:tc>
        <w:tc>
          <w:tcPr>
            <w:tcW w:w="17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eastAsia="宋体"/>
                <w:b/>
                <w:sz w:val="24"/>
                <w:szCs w:val="28"/>
                <w:lang w:val="en-US" w:eastAsia="zh-CN"/>
              </w:rPr>
            </w:pPr>
            <w:r>
              <w:rPr>
                <w:rFonts w:hint="eastAsia"/>
                <w:b/>
                <w:sz w:val="24"/>
                <w:szCs w:val="28"/>
                <w:lang w:val="en-US" w:eastAsia="zh-CN"/>
              </w:rPr>
              <w:t>民族</w:t>
            </w:r>
          </w:p>
        </w:tc>
        <w:tc>
          <w:tcPr>
            <w:tcW w:w="170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eastAsia="宋体"/>
                <w:b/>
                <w:sz w:val="24"/>
                <w:szCs w:val="28"/>
                <w:lang w:val="en-US" w:eastAsia="zh-CN"/>
              </w:rPr>
            </w:pPr>
            <w:r>
              <w:rPr>
                <w:rFonts w:hint="eastAsia"/>
                <w:b/>
                <w:sz w:val="24"/>
                <w:szCs w:val="28"/>
                <w:lang w:val="en-US" w:eastAsia="zh-CN"/>
              </w:rPr>
              <w:t>职务/职称</w:t>
            </w:r>
          </w:p>
        </w:tc>
        <w:tc>
          <w:tcPr>
            <w:tcW w:w="2218" w:type="dxa"/>
            <w:vAlign w:val="center"/>
          </w:tcPr>
          <w:p>
            <w:pPr>
              <w:keepNext w:val="0"/>
              <w:keepLines w:val="0"/>
              <w:pageBreakBefore w:val="0"/>
              <w:kinsoku/>
              <w:wordWrap/>
              <w:overflowPunct/>
              <w:topLinePunct w:val="0"/>
              <w:autoSpaceDE/>
              <w:autoSpaceDN/>
              <w:bidi w:val="0"/>
              <w:adjustRightInd/>
              <w:snapToGrid/>
              <w:spacing w:line="240" w:lineRule="auto"/>
              <w:jc w:val="center"/>
              <w:rPr>
                <w:b/>
                <w:sz w:val="24"/>
                <w:szCs w:val="28"/>
              </w:rPr>
            </w:pPr>
            <w:r>
              <w:rPr>
                <w:b/>
                <w:sz w:val="24"/>
                <w:szCs w:val="28"/>
              </w:rPr>
              <w:t>联系电话</w:t>
            </w:r>
          </w:p>
        </w:tc>
        <w:tc>
          <w:tcPr>
            <w:tcW w:w="3554" w:type="dxa"/>
            <w:gridSpan w:val="2"/>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eastAsia="宋体"/>
                <w:b/>
                <w:sz w:val="24"/>
                <w:szCs w:val="28"/>
                <w:lang w:val="en-US" w:eastAsia="zh-CN"/>
              </w:rPr>
            </w:pPr>
            <w:r>
              <w:rPr>
                <w:b/>
                <w:sz w:val="24"/>
                <w:szCs w:val="28"/>
              </w:rPr>
              <w:t>E-mail</w:t>
            </w:r>
          </w:p>
        </w:tc>
        <w:tc>
          <w:tcPr>
            <w:tcW w:w="255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rPr>
                <w:b/>
                <w:sz w:val="24"/>
                <w:szCs w:val="28"/>
              </w:rPr>
            </w:pPr>
            <w:r>
              <w:rPr>
                <w:rFonts w:hint="eastAsia"/>
                <w:b/>
                <w:sz w:val="24"/>
                <w:szCs w:val="28"/>
                <w:lang w:val="en-US" w:eastAsia="zh-CN"/>
              </w:rPr>
              <w:t>是否</w:t>
            </w:r>
            <w:r>
              <w:rPr>
                <w:rFonts w:hint="eastAsia"/>
                <w:b/>
                <w:sz w:val="24"/>
                <w:szCs w:val="28"/>
              </w:rPr>
              <w:t>住宿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0" w:type="dxa"/>
          <w:trHeight w:val="1001" w:hRule="atLeast"/>
          <w:jc w:val="center"/>
        </w:trPr>
        <w:tc>
          <w:tcPr>
            <w:tcW w:w="2049"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b/>
                <w:sz w:val="24"/>
                <w:szCs w:val="28"/>
                <w:lang w:val="en-US" w:eastAsia="zh-CN"/>
              </w:rPr>
            </w:pPr>
          </w:p>
        </w:tc>
        <w:tc>
          <w:tcPr>
            <w:tcW w:w="113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b/>
                <w:sz w:val="24"/>
                <w:szCs w:val="28"/>
                <w:lang w:val="en-US" w:eastAsia="zh-CN"/>
              </w:rPr>
            </w:pPr>
          </w:p>
        </w:tc>
        <w:tc>
          <w:tcPr>
            <w:tcW w:w="1701" w:type="dxa"/>
            <w:vAlign w:val="center"/>
          </w:tcPr>
          <w:p>
            <w:pPr>
              <w:keepNext w:val="0"/>
              <w:keepLines w:val="0"/>
              <w:pageBreakBefore w:val="0"/>
              <w:kinsoku/>
              <w:wordWrap/>
              <w:overflowPunct/>
              <w:topLinePunct w:val="0"/>
              <w:autoSpaceDE/>
              <w:autoSpaceDN/>
              <w:bidi w:val="0"/>
              <w:adjustRightInd/>
              <w:snapToGrid/>
              <w:spacing w:line="240" w:lineRule="auto"/>
              <w:jc w:val="center"/>
              <w:rPr>
                <w:b/>
                <w:sz w:val="24"/>
                <w:szCs w:val="28"/>
              </w:rPr>
            </w:pPr>
          </w:p>
        </w:tc>
        <w:tc>
          <w:tcPr>
            <w:tcW w:w="1701" w:type="dxa"/>
            <w:vAlign w:val="center"/>
          </w:tcPr>
          <w:p>
            <w:pPr>
              <w:keepNext w:val="0"/>
              <w:keepLines w:val="0"/>
              <w:pageBreakBefore w:val="0"/>
              <w:kinsoku/>
              <w:wordWrap/>
              <w:overflowPunct/>
              <w:topLinePunct w:val="0"/>
              <w:autoSpaceDE/>
              <w:autoSpaceDN/>
              <w:bidi w:val="0"/>
              <w:adjustRightInd/>
              <w:snapToGrid/>
              <w:spacing w:line="240" w:lineRule="auto"/>
              <w:jc w:val="center"/>
              <w:rPr>
                <w:b/>
                <w:sz w:val="24"/>
                <w:szCs w:val="28"/>
              </w:rPr>
            </w:pPr>
          </w:p>
        </w:tc>
        <w:tc>
          <w:tcPr>
            <w:tcW w:w="2218" w:type="dxa"/>
            <w:vAlign w:val="center"/>
          </w:tcPr>
          <w:p>
            <w:pPr>
              <w:keepNext w:val="0"/>
              <w:keepLines w:val="0"/>
              <w:pageBreakBefore w:val="0"/>
              <w:kinsoku/>
              <w:wordWrap/>
              <w:overflowPunct/>
              <w:topLinePunct w:val="0"/>
              <w:autoSpaceDE/>
              <w:autoSpaceDN/>
              <w:bidi w:val="0"/>
              <w:adjustRightInd/>
              <w:snapToGrid/>
              <w:spacing w:line="240" w:lineRule="auto"/>
              <w:jc w:val="center"/>
              <w:rPr>
                <w:b/>
                <w:sz w:val="24"/>
                <w:szCs w:val="28"/>
              </w:rPr>
            </w:pPr>
          </w:p>
        </w:tc>
        <w:tc>
          <w:tcPr>
            <w:tcW w:w="3554" w:type="dxa"/>
            <w:gridSpan w:val="2"/>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b/>
                <w:sz w:val="24"/>
                <w:szCs w:val="28"/>
                <w:lang w:val="en-US" w:eastAsia="zh-CN"/>
              </w:rPr>
            </w:pPr>
          </w:p>
        </w:tc>
        <w:tc>
          <w:tcPr>
            <w:tcW w:w="255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jc w:val="center"/>
        </w:trPr>
        <w:tc>
          <w:tcPr>
            <w:tcW w:w="10024" w:type="dxa"/>
            <w:gridSpan w:val="6"/>
            <w:vAlign w:val="center"/>
          </w:tcPr>
          <w:p>
            <w:pPr>
              <w:keepNext w:val="0"/>
              <w:keepLines w:val="0"/>
              <w:pageBreakBefore w:val="0"/>
              <w:kinsoku/>
              <w:wordWrap/>
              <w:overflowPunct/>
              <w:topLinePunct w:val="0"/>
              <w:autoSpaceDE/>
              <w:autoSpaceDN/>
              <w:bidi w:val="0"/>
              <w:adjustRightInd/>
              <w:snapToGrid/>
              <w:spacing w:line="240" w:lineRule="auto"/>
              <w:rPr>
                <w:sz w:val="24"/>
                <w:szCs w:val="28"/>
              </w:rPr>
            </w:pPr>
            <w:r>
              <w:rPr>
                <w:sz w:val="24"/>
                <w:szCs w:val="28"/>
              </w:rPr>
              <w:t>请</w:t>
            </w:r>
            <w:r>
              <w:rPr>
                <w:rFonts w:hint="eastAsia"/>
                <w:sz w:val="24"/>
                <w:szCs w:val="28"/>
                <w:lang w:val="en-US" w:eastAsia="zh-CN"/>
              </w:rPr>
              <w:t>缴费后</w:t>
            </w:r>
            <w:r>
              <w:rPr>
                <w:sz w:val="24"/>
                <w:szCs w:val="28"/>
              </w:rPr>
              <w:t>将回执发送至：</w:t>
            </w:r>
          </w:p>
          <w:p>
            <w:pPr>
              <w:keepNext w:val="0"/>
              <w:keepLines w:val="0"/>
              <w:pageBreakBefore w:val="0"/>
              <w:kinsoku/>
              <w:wordWrap/>
              <w:overflowPunct/>
              <w:topLinePunct w:val="0"/>
              <w:autoSpaceDE/>
              <w:autoSpaceDN/>
              <w:bidi w:val="0"/>
              <w:adjustRightInd/>
              <w:snapToGrid/>
              <w:spacing w:line="240" w:lineRule="auto"/>
              <w:ind w:right="480"/>
              <w:rPr>
                <w:rFonts w:hint="default" w:eastAsia="宋体"/>
                <w:color w:val="000000"/>
                <w:sz w:val="24"/>
                <w:szCs w:val="28"/>
                <w:lang w:val="en-US" w:eastAsia="zh-CN"/>
              </w:rPr>
            </w:pPr>
            <w:r>
              <w:rPr>
                <w:rFonts w:hint="eastAsia"/>
                <w:color w:val="000000"/>
                <w:sz w:val="24"/>
                <w:szCs w:val="28"/>
                <w:lang w:val="en-US" w:eastAsia="zh-CN"/>
              </w:rPr>
              <w:t>王  昕</w:t>
            </w:r>
            <w:r>
              <w:rPr>
                <w:color w:val="000000"/>
                <w:sz w:val="24"/>
                <w:szCs w:val="28"/>
              </w:rPr>
              <w:t>：邮箱</w:t>
            </w:r>
            <w:r>
              <w:rPr>
                <w:rFonts w:hint="default"/>
                <w:sz w:val="28"/>
                <w:szCs w:val="28"/>
                <w:lang w:val="en-US" w:eastAsia="zh-CN"/>
              </w:rPr>
              <w:t>qlnbgkyzx@163.com</w:t>
            </w:r>
            <w:r>
              <w:rPr>
                <w:color w:val="000000"/>
                <w:sz w:val="24"/>
                <w:szCs w:val="28"/>
              </w:rPr>
              <w:t>，手机</w:t>
            </w:r>
            <w:r>
              <w:rPr>
                <w:rFonts w:hint="default"/>
                <w:sz w:val="28"/>
                <w:szCs w:val="28"/>
                <w:lang w:val="en-US" w:eastAsia="zh-CN"/>
              </w:rPr>
              <w:t>1</w:t>
            </w:r>
            <w:r>
              <w:rPr>
                <w:rFonts w:hint="eastAsia"/>
                <w:sz w:val="28"/>
                <w:szCs w:val="28"/>
                <w:lang w:val="en-US" w:eastAsia="zh-CN"/>
              </w:rPr>
              <w:t>8834072466</w:t>
            </w:r>
          </w:p>
          <w:p>
            <w:pPr>
              <w:keepNext w:val="0"/>
              <w:keepLines w:val="0"/>
              <w:pageBreakBefore w:val="0"/>
              <w:kinsoku/>
              <w:wordWrap/>
              <w:overflowPunct/>
              <w:topLinePunct w:val="0"/>
              <w:autoSpaceDE/>
              <w:autoSpaceDN/>
              <w:bidi w:val="0"/>
              <w:adjustRightInd/>
              <w:snapToGrid/>
              <w:spacing w:line="240" w:lineRule="auto"/>
              <w:ind w:right="480"/>
              <w:rPr>
                <w:color w:val="000000"/>
                <w:sz w:val="24"/>
                <w:szCs w:val="28"/>
              </w:rPr>
            </w:pPr>
          </w:p>
        </w:tc>
        <w:tc>
          <w:tcPr>
            <w:tcW w:w="4911"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right="1320"/>
              <w:rPr>
                <w:bCs/>
                <w:sz w:val="28"/>
              </w:rPr>
            </w:pPr>
            <w:r>
              <w:drawing>
                <wp:anchor distT="0" distB="0" distL="114300" distR="114300" simplePos="0" relativeHeight="251659264" behindDoc="0" locked="0" layoutInCell="1" allowOverlap="1">
                  <wp:simplePos x="0" y="0"/>
                  <wp:positionH relativeFrom="column">
                    <wp:posOffset>1600200</wp:posOffset>
                  </wp:positionH>
                  <wp:positionV relativeFrom="paragraph">
                    <wp:posOffset>123190</wp:posOffset>
                  </wp:positionV>
                  <wp:extent cx="1342390" cy="1321435"/>
                  <wp:effectExtent l="0" t="0" r="13970" b="444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1342390" cy="1321435"/>
                          </a:xfrm>
                          <a:prstGeom prst="rect">
                            <a:avLst/>
                          </a:prstGeom>
                          <a:noFill/>
                          <a:ln>
                            <a:noFill/>
                          </a:ln>
                        </pic:spPr>
                      </pic:pic>
                    </a:graphicData>
                  </a:graphic>
                </wp:anchor>
              </w:drawing>
            </w:r>
          </w:p>
          <w:p>
            <w:pPr>
              <w:keepNext w:val="0"/>
              <w:keepLines w:val="0"/>
              <w:pageBreakBefore w:val="0"/>
              <w:kinsoku/>
              <w:wordWrap/>
              <w:overflowPunct/>
              <w:topLinePunct w:val="0"/>
              <w:autoSpaceDE/>
              <w:autoSpaceDN/>
              <w:bidi w:val="0"/>
              <w:adjustRightInd/>
              <w:snapToGrid/>
              <w:spacing w:line="240" w:lineRule="auto"/>
              <w:ind w:right="2284"/>
              <w:jc w:val="center"/>
              <w:rPr>
                <w:rFonts w:hint="eastAsia" w:eastAsia="宋体"/>
                <w:b/>
                <w:bCs/>
                <w:sz w:val="28"/>
                <w:lang w:eastAsia="zh-CN"/>
              </w:rPr>
            </w:pPr>
            <w:r>
              <w:rPr>
                <w:b/>
                <w:bCs/>
                <w:sz w:val="28"/>
              </w:rPr>
              <w:t>为方便会务，特建微信群，欢迎扫码！</w:t>
            </w:r>
          </w:p>
          <w:p>
            <w:pPr>
              <w:keepNext w:val="0"/>
              <w:keepLines w:val="0"/>
              <w:pageBreakBefore w:val="0"/>
              <w:kinsoku/>
              <w:wordWrap/>
              <w:overflowPunct/>
              <w:topLinePunct w:val="0"/>
              <w:autoSpaceDE/>
              <w:autoSpaceDN/>
              <w:bidi w:val="0"/>
              <w:adjustRightInd/>
              <w:snapToGrid/>
              <w:spacing w:line="240" w:lineRule="auto"/>
              <w:ind w:right="2284" w:rightChars="0"/>
              <w:jc w:val="center"/>
              <w:rPr>
                <w:rFonts w:ascii="Times New Roman" w:hAnsi="Times New Roman" w:eastAsia="宋体" w:cs="Times New Roman"/>
                <w:b/>
                <w:bCs/>
                <w:kern w:val="2"/>
                <w:sz w:val="28"/>
                <w:szCs w:val="24"/>
                <w:lang w:val="en-US" w:eastAsia="zh-CN" w:bidi="ar-SA"/>
              </w:rPr>
            </w:pPr>
            <w:r>
              <w:rPr>
                <w:b/>
                <w:bCs/>
                <w:sz w:val="28"/>
              </w:rPr>
              <w:t xml:space="preserve">  </w:t>
            </w:r>
          </w:p>
        </w:tc>
      </w:tr>
    </w:tbl>
    <w:p>
      <w:pPr>
        <w:keepNext w:val="0"/>
        <w:keepLines w:val="0"/>
        <w:pageBreakBefore w:val="0"/>
        <w:kinsoku/>
        <w:wordWrap/>
        <w:overflowPunct/>
        <w:topLinePunct w:val="0"/>
        <w:autoSpaceDE/>
        <w:autoSpaceDN/>
        <w:bidi w:val="0"/>
        <w:adjustRightInd/>
        <w:snapToGrid/>
        <w:spacing w:line="240" w:lineRule="auto"/>
        <w:ind w:firstLine="5040" w:firstLineChars="1800"/>
        <w:rPr>
          <w:rFonts w:hint="eastAsia"/>
          <w:sz w:val="28"/>
          <w:szCs w:val="28"/>
        </w:rPr>
        <w:sectPr>
          <w:pgSz w:w="16838" w:h="11906" w:orient="landscape"/>
          <w:pgMar w:top="1800" w:right="1440" w:bottom="1800" w:left="1440" w:header="851" w:footer="992" w:gutter="0"/>
          <w:pgNumType w:fmt="decimal"/>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240" w:lineRule="auto"/>
        <w:rPr>
          <w:rFonts w:hint="eastAsia" w:eastAsia="楷体"/>
          <w:bCs/>
          <w:sz w:val="44"/>
          <w:szCs w:val="44"/>
          <w:lang w:val="en-US" w:eastAsia="zh-CN"/>
        </w:rPr>
      </w:pPr>
      <w:r>
        <w:rPr>
          <w:rFonts w:hint="eastAsia" w:eastAsia="楷体"/>
          <w:bCs/>
          <w:sz w:val="44"/>
          <w:szCs w:val="44"/>
          <w:lang w:val="en-US" w:eastAsia="zh-CN"/>
        </w:rPr>
        <w:t>附件2：</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default"/>
          <w:b/>
          <w:bCs/>
          <w:sz w:val="28"/>
          <w:szCs w:val="28"/>
          <w:lang w:val="en-US" w:eastAsia="zh-CN"/>
        </w:rPr>
      </w:pPr>
      <w:r>
        <w:rPr>
          <w:rFonts w:hint="eastAsia"/>
          <w:b/>
          <w:bCs/>
          <w:sz w:val="28"/>
          <w:szCs w:val="28"/>
          <w:lang w:val="en-US" w:eastAsia="zh-CN"/>
        </w:rPr>
        <w:t>授课老师简介</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杜  诚 副研究员，上海辰山植物园信息技术部副部长。2010年毕业于西北农林科技大学。2012年转至上海辰山植物园从事植物分类学研究工作。长期从事植物分类学研究，熟悉经典植物分类学的研究流程，主编专著5部，副主编1部，参与翻译《&lt;国际藻类、菌物和植物命名法规&gt;读者指南》，发表论文50余篇。主导中国植物名称索引数据库、中国植物物种年度报告、民国时期植物分类学文献共享系统等分类学基础数据和文献共享工作。</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黎  斌 研究员，陕西省西安植物园（陕西省植物研究所）植物多样性研究中心主任，兼任世界自然保护联盟（IUCN）物种生存委员会（SSC）中国植物专家小组（CPSG）成员、国家林草局第一届野生植物标准化技术委员会委员、中国林学会树木引种驯化分会常务理事、中国林学会灌木分会理事、陕西省植物学会常务理事等。主要从事植物资源分类鉴定与调查评价、特色林草资源优良种质的挖掘与创新利用等研究工作。先后主持或参加国家级研究课题8项、省部级及地市级研究课题30余项。授权陕西省林草良种2个，发表论文40余篇，主编专著4部，参编专著8部，陕西省地方标准1项、行业团体标准1项，获陕西省科技进步奖二等奖、西安市科技进步奖一等奖、陕西省科学院科技进步奖一等奖各1项。</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刘培亮 植物学博士，西北大学生命科学学院生物科学系教师。主要从事植物分类学、植物地理学、植物学实验、植物学野外实习等课程的教学工作。科研工作中，整合植物形态学、解剖学、染色体证据以及分子系统发育证据研究植物类群划分，发现新物种，订正已知物种，编著分类学专著等工具书，主要关注豆科等类群以及秦巴山区、黄土高原、青藏高原等北温带自然地理区域。发表学术论文50余篇，专著、教材10余部。</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李亚利 秦岭国家植物园科研中心副主任，高级工程师，西北农林科技大学研究生校外指导老师，首批陕西省自然教育特聘讲师。主要从事生物多样性保护工作，尤其是植物的迁地保护，特别是对珍稀濒危、极小种群、国家重点保护植物的迁地保护有一定的研究。主持国家级、省级项目10项，指导完成省级项目10项，参与完成项目14项，公开发表学术论文近30篇；主编《陕西省重点保护野生植物图鉴》，作为副主编编著《21世纪园林之母》一书第四卷和第八卷。</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sz w:val="28"/>
          <w:szCs w:val="28"/>
          <w:lang w:val="en-US" w:eastAsia="zh-CN"/>
        </w:rPr>
      </w:pPr>
      <w:r>
        <w:rPr>
          <w:rFonts w:hint="eastAsia"/>
          <w:sz w:val="28"/>
          <w:szCs w:val="28"/>
          <w:lang w:val="en-US" w:eastAsia="zh-CN"/>
        </w:rPr>
        <w:t>卢  元 副研究员，就职于陕西省西安植物园（陕西省植物研究所），主要从事植物分类学和孢子植物学研究工作。现任陕西省科普作家协会理事，《陕西植物志》编辑委员会编委，西安市林草种质资源普查特聘专家。发表学术论文10余篇。主编出版著作《陕西植物志第四卷》《秦岭野生植物图鉴》等。</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 xml:space="preserve">文香英 </w:t>
      </w:r>
      <w:r>
        <w:rPr>
          <w:rFonts w:hint="default"/>
          <w:sz w:val="28"/>
          <w:szCs w:val="28"/>
          <w:lang w:val="en-US" w:eastAsia="zh-CN"/>
        </w:rPr>
        <w:t>中国科学院华南植物园/华南国家植物园教授级高级工程师，兼任国际植物园保护联盟（BGCI）中国项目办公室执行主任。长期从事植物多样性保护工作，参与《全球植物保护战略》（GSPC）、《中国植物保护战略》（CSPC）等重要战略的制定、实施与进展评估，尤其聚焦于濒危植物综合保护与恢复项目的落地推进，并持续推动中国植物园的建设与发展。在提升中国植物保护工作的国际影响力、促进和加强中国植物园与全球植物园之间的交流合作方面发挥了关键作用。</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t>已发表学术论文30余篇，出版多部专著，其中代表性著作包括《珍稀濒危木本植物综合保护——BGCI中国项目实践（2010-2020）与展望》，并主持翻译《BGCI植物园规划、建设与管理指南》等专业书籍。</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default"/>
          <w:sz w:val="28"/>
          <w:szCs w:val="28"/>
          <w:lang w:val="en-US" w:eastAsia="zh-CN"/>
        </w:rPr>
        <w:t>Email: xiangying.wen@bgci.org or wx-ying@scbg.ac.cn</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吴振海 高级实验师（副教授），1982年毕业于陕西省农林学校。同年分配到西北植物研究所植物分类研究室工作至今。自工作以来，一直从事西北地区及秦岭植物多样性的野外调查及种类鉴定工作，尤其关注秦岭山脉的植物分类学研究，被民间称为“秦岭活字典”。先后参与牛背梁自然保护区、平河梁自然保护区、长青自然保护区、青木川自然保护区以及黄河湿地、丹江湿地、千河湿地、关山湿地、黑渭湿地的野外调查和报告编写；多次深入太白山自然保护区、佛坪自然保护区以及化龙山自然保护区考察植物。2008-2020年，一直从事陕西省农业野生植物调查工作；2019-2021年从事陕西省外来入侵植物调查工作。获陕西科技进步二等奖2次，获宁夏科技进步二等奖1次。参与出版专著多部；发表论文多篇。</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sz w:val="28"/>
          <w:szCs w:val="28"/>
          <w:lang w:val="en-US" w:eastAsia="zh-CN"/>
        </w:rPr>
      </w:pPr>
      <w:r>
        <w:rPr>
          <w:rFonts w:hint="eastAsia"/>
          <w:sz w:val="28"/>
          <w:szCs w:val="28"/>
          <w:lang w:val="en-US" w:eastAsia="zh-CN"/>
        </w:rPr>
        <w:t>寻路路 副研究员，2013年毕业于西北农林科技大学植物学专业，同年入职陕西省西安植物园（陕西省植物研究所）。第四次全国中药资源普查工作陕西省专家委员会委员、《陕西植物志》编委、西安市林草种质资源普查特聘专家、中国园艺学会球宿根花卉分会全国观赏草专家委员会委员。主要从事植物分类学和植物资源保护与利用工作。主持及参与项目20余项，发表论文30余篇，参与编写《陕西植物志》、《吉林省生物多样性-植物志》、《延安植物志》、《咸阳中药材栽培技术》等专著10余部。</w:t>
      </w:r>
    </w:p>
    <w:p>
      <w:pPr>
        <w:keepNext w:val="0"/>
        <w:keepLines w:val="0"/>
        <w:pageBreakBefore w:val="0"/>
        <w:kinsoku/>
        <w:wordWrap/>
        <w:overflowPunct/>
        <w:topLinePunct w:val="0"/>
        <w:autoSpaceDE/>
        <w:autoSpaceDN/>
        <w:bidi w:val="0"/>
        <w:adjustRightInd/>
        <w:snapToGrid/>
        <w:spacing w:line="240" w:lineRule="auto"/>
        <w:rPr>
          <w:rFonts w:hint="default" w:eastAsia="楷体"/>
          <w:bCs/>
          <w:sz w:val="44"/>
          <w:szCs w:val="44"/>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9A5CC1-4F10-46B8-8539-477D18BFD5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0" w:usb1="00000000" w:usb2="00000000" w:usb3="00000000" w:csb0="00000000" w:csb1="00000000"/>
    <w:embedRegular r:id="rId2" w:fontKey="{04D52D5F-F16D-4EFE-BFE6-B9469E056A3C}"/>
  </w:font>
  <w:font w:name="仿宋">
    <w:panose1 w:val="02010609060101010101"/>
    <w:charset w:val="86"/>
    <w:family w:val="auto"/>
    <w:pitch w:val="default"/>
    <w:sig w:usb0="800002BF" w:usb1="38CF7CFA" w:usb2="00000016" w:usb3="00000000" w:csb0="00040001" w:csb1="00000000"/>
    <w:embedRegular r:id="rId3" w:fontKey="{2DB6B607-6A5D-4463-B40D-061AD094D54C}"/>
  </w:font>
  <w:font w:name="楷体">
    <w:panose1 w:val="02010609060101010101"/>
    <w:charset w:val="86"/>
    <w:family w:val="modern"/>
    <w:pitch w:val="default"/>
    <w:sig w:usb0="800002BF" w:usb1="38CF7CFA" w:usb2="00000016" w:usb3="00000000" w:csb0="00040001" w:csb1="00000000"/>
    <w:embedRegular r:id="rId4" w:fontKey="{D0AF5DB5-C651-49B4-8149-24B00F0798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03ED9B"/>
    <w:multiLevelType w:val="singleLevel"/>
    <w:tmpl w:val="8903ED9B"/>
    <w:lvl w:ilvl="0" w:tentative="0">
      <w:start w:val="4"/>
      <w:numFmt w:val="decimal"/>
      <w:suff w:val="nothing"/>
      <w:lvlText w:val="%1、"/>
      <w:lvlJc w:val="left"/>
    </w:lvl>
  </w:abstractNum>
  <w:abstractNum w:abstractNumId="1">
    <w:nsid w:val="71CBB196"/>
    <w:multiLevelType w:val="singleLevel"/>
    <w:tmpl w:val="71CBB196"/>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EC172E"/>
    <w:rsid w:val="005C23ED"/>
    <w:rsid w:val="00716094"/>
    <w:rsid w:val="03AB5D2A"/>
    <w:rsid w:val="03EC172E"/>
    <w:rsid w:val="06AF4DFA"/>
    <w:rsid w:val="0B317584"/>
    <w:rsid w:val="12A755F9"/>
    <w:rsid w:val="12B32FBA"/>
    <w:rsid w:val="3C6237A2"/>
    <w:rsid w:val="3FAB6A30"/>
    <w:rsid w:val="47B0254D"/>
    <w:rsid w:val="47E251EB"/>
    <w:rsid w:val="4CA12B5A"/>
    <w:rsid w:val="4F5B5ABF"/>
    <w:rsid w:val="4FE81640"/>
    <w:rsid w:val="5119608C"/>
    <w:rsid w:val="5E6958FD"/>
    <w:rsid w:val="5EE42EAE"/>
    <w:rsid w:val="61DB6525"/>
    <w:rsid w:val="63E12522"/>
    <w:rsid w:val="694355B6"/>
    <w:rsid w:val="6C6030C6"/>
    <w:rsid w:val="6D696677"/>
    <w:rsid w:val="6E543A14"/>
    <w:rsid w:val="70673800"/>
    <w:rsid w:val="70EA753B"/>
    <w:rsid w:val="742A3CAE"/>
    <w:rsid w:val="747957F3"/>
    <w:rsid w:val="75314F81"/>
    <w:rsid w:val="763F4D7D"/>
    <w:rsid w:val="793B3599"/>
    <w:rsid w:val="7C8A3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3782</Words>
  <Characters>4308</Characters>
  <Lines>0</Lines>
  <Paragraphs>0</Paragraphs>
  <TotalTime>20</TotalTime>
  <ScaleCrop>false</ScaleCrop>
  <LinksUpToDate>false</LinksUpToDate>
  <CharactersWithSpaces>4356</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2026-06-01T11:27:00Z</dcterms:created>
  <dc:creator>橘皮</dc:creator>
  <cp:lastModifiedBy>May</cp:lastModifiedBy>
  <cp:lastPrinted>2026-07-01T01:32:00Z</cp:lastPrinted>
  <dcterms:modified xsi:type="dcterms:W3CDTF">2026-07-03T01:49:40Z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AA2D54A0F524455099BAF29C8B4FBAC3_13</vt:lpwstr>
  </property>
  <property fmtid="{D5CDD505-2E9C-101B-9397-08002B2CF9AE}" pid="4" name="KSOTemplateDocerSaveRecord">
    <vt:lpwstr>eyJoZGlkIjoiY2Q1Y2FhOGFjMWZjOTJkMzlmNWNhNzJiZjJhYmZiMGIiLCJ1c2VySWQiOiIyNTEyNTg5ODkifQ==</vt:lpwstr>
  </property>
</Properties>
</file>